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A7B" w:rsidRPr="005E6A7B" w:rsidRDefault="005E6A7B" w:rsidP="005E6A7B">
      <w:pPr>
        <w:ind w:left="-426" w:right="-284"/>
        <w:jc w:val="right"/>
        <w:rPr>
          <w:rFonts w:ascii="Arial" w:hAnsi="Arial" w:cs="Arial"/>
          <w:b/>
          <w:bCs/>
          <w:sz w:val="16"/>
          <w:szCs w:val="16"/>
        </w:rPr>
      </w:pPr>
      <w:r w:rsidRPr="005E6A7B">
        <w:rPr>
          <w:rFonts w:ascii="Arial" w:hAnsi="Arial" w:cs="Arial"/>
          <w:b/>
          <w:bCs/>
          <w:sz w:val="16"/>
          <w:szCs w:val="16"/>
        </w:rPr>
        <w:t>załącznik nr 2 do SIWZ</w:t>
      </w:r>
    </w:p>
    <w:p w:rsidR="005E6A7B" w:rsidRPr="005E6A7B" w:rsidRDefault="005E6A7B" w:rsidP="005E6A7B">
      <w:pPr>
        <w:ind w:left="-426" w:right="-284"/>
        <w:jc w:val="right"/>
        <w:rPr>
          <w:rFonts w:ascii="Arial" w:hAnsi="Arial" w:cs="Arial"/>
          <w:b/>
          <w:bCs/>
          <w:sz w:val="18"/>
          <w:szCs w:val="18"/>
        </w:rPr>
      </w:pPr>
    </w:p>
    <w:p w:rsidR="00984B5D" w:rsidRPr="005E6A7B" w:rsidRDefault="005E6A7B" w:rsidP="005E6A7B">
      <w:pPr>
        <w:pStyle w:val="Tytu"/>
        <w:spacing w:line="240" w:lineRule="auto"/>
        <w:ind w:left="-426" w:right="-284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Szczegółowy opis przedmiotu zamówienia</w:t>
      </w:r>
    </w:p>
    <w:p w:rsidR="001A1762" w:rsidRPr="005E6A7B" w:rsidRDefault="001A1762" w:rsidP="00227862">
      <w:pPr>
        <w:pStyle w:val="Tytu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148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28"/>
        <w:gridCol w:w="3543"/>
        <w:gridCol w:w="2835"/>
      </w:tblGrid>
      <w:tr w:rsidR="005E6A7B" w:rsidRPr="005E6A7B" w:rsidTr="00B15AAB">
        <w:trPr>
          <w:trHeight w:val="71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pStyle w:val="Nagwek1"/>
              <w:rPr>
                <w:rFonts w:ascii="Arial" w:hAnsi="Arial" w:cs="Arial"/>
                <w:szCs w:val="18"/>
              </w:rPr>
            </w:pPr>
            <w:r w:rsidRPr="005E6A7B">
              <w:rPr>
                <w:rFonts w:ascii="Arial" w:hAnsi="Arial" w:cs="Arial"/>
                <w:szCs w:val="18"/>
              </w:rPr>
              <w:t>Opis parametru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Wartość wymagana/graniczna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Opis oferowanych przez Wykonawcę parametrów</w:t>
            </w:r>
          </w:p>
        </w:tc>
      </w:tr>
      <w:tr w:rsidR="005E6A7B" w:rsidRPr="005E6A7B" w:rsidTr="00B15AAB">
        <w:trPr>
          <w:trHeight w:val="27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4.</w:t>
            </w: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I. WYMAGANIA OGÓLNE</w:t>
            </w:r>
          </w:p>
        </w:tc>
      </w:tr>
      <w:tr w:rsidR="005E6A7B" w:rsidRPr="005E6A7B" w:rsidTr="005E6A7B">
        <w:trPr>
          <w:trHeight w:val="72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Tomograf nowy wyprodukowany w 2019 roku, nieużywany, nie rekondycjonowany, w najnowszej wersji sprzętowej i oprogramowania na dzień składania oferty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Tomograf komputerowy całego ciała, umożliwiający uzyskanie min. 32 warstw badanego obszaru w czasie jednego pełnego obrotu układu lampa-detektor,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posiadający detektor minimum 16 rzędowy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</w:t>
            </w:r>
            <w:r w:rsidR="00926A5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Szerokość detektora min. 18mm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18-19mm – 0 pkt</w:t>
            </w:r>
          </w:p>
          <w:p w:rsidR="005E6A7B" w:rsidRPr="005E6A7B" w:rsidRDefault="005E6A7B" w:rsidP="00926A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20 mm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26A5B" w:rsidRPr="005E6A7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5E6A7B">
              <w:rPr>
                <w:rFonts w:ascii="Arial" w:hAnsi="Arial" w:cs="Arial"/>
                <w:sz w:val="18"/>
                <w:szCs w:val="18"/>
              </w:rPr>
              <w:t>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16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Tomograf umożliwiający: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badania klatki piersiowej, kręgosłupa, jamy brzusznej i miednicy wraz z wielofazowymi badaniami narządów tych obszarów anatomicznych,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badania naczyń domózgowych, wewnątrzczaszkowych, dużych naczyń oraz naczyń obwodowych,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akwizycję submilimetrową niewielkich struktur anatomicznych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badania wielonarządowe w zakresie min. 140 cm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9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</w:tabs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Certyfikaty i świadectwa dla tomografu komputerowego:</w:t>
            </w:r>
          </w:p>
          <w:p w:rsidR="005E6A7B" w:rsidRPr="005E6A7B" w:rsidRDefault="005E6A7B" w:rsidP="009C7781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</w:tabs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deklaracja zgodności dla oferowanego typu tomografu,</w:t>
            </w:r>
          </w:p>
          <w:p w:rsidR="005E6A7B" w:rsidRPr="005E6A7B" w:rsidRDefault="005E6A7B" w:rsidP="009C7781">
            <w:pPr>
              <w:pStyle w:val="AbsatzTableFormat"/>
              <w:snapToGrid w:val="0"/>
              <w:spacing w:line="240" w:lineRule="auto"/>
              <w:ind w:left="35"/>
              <w:rPr>
                <w:rFonts w:ascii="Arial" w:eastAsia="Times New Roman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eastAsia="pl-PL"/>
              </w:rPr>
              <w:t>- zgłoszenie do rejestru wyrobów medycznych oferowanego typu tomografu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II. GANTRY i STÓŁ</w:t>
            </w:r>
          </w:p>
        </w:tc>
      </w:tr>
      <w:tr w:rsidR="005E6A7B" w:rsidRPr="005E6A7B" w:rsidTr="005E6A7B">
        <w:trPr>
          <w:trHeight w:val="32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Średnica otworu gantry [cm]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5E6A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Maksymalne obciążenie stołu z zachowaniem pr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ecyzji pozycjonowania ± 0,25mm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5E6A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205 kg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205-220 kg – 0 pkt</w:t>
            </w:r>
          </w:p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&gt; 220 – 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Kamera do obserwacji zachowań pacjenta, z funkcją zbliżenia widoku (może być zamontowana z boku, mocowana w pomieszczeniu badań)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F0268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F0268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Wyposażenie stołu w:</w:t>
            </w:r>
          </w:p>
          <w:p w:rsidR="005E6A7B" w:rsidRPr="005E6A7B" w:rsidRDefault="005E6A7B" w:rsidP="00926A5B">
            <w:pPr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materac,</w:t>
            </w:r>
          </w:p>
          <w:p w:rsidR="005E6A7B" w:rsidRPr="005E6A7B" w:rsidRDefault="005E6A7B" w:rsidP="00926A5B">
            <w:pPr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podpórkę pod głowę pozbawioną elementów metalowych,</w:t>
            </w:r>
          </w:p>
          <w:p w:rsidR="005E6A7B" w:rsidRPr="005E6A7B" w:rsidRDefault="005E6A7B" w:rsidP="00926A5B">
            <w:pPr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 xml:space="preserve">- pasy lub listwy unieruchamiające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Dwa wskaźniki zatrzymania oddechu wyposażone w liczniki czasu widoczne dla pacjenta podczas badania niezależnie od kierunku wprowadzenia pacjenta do gantry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Automatyczne pozycjonowanie pacjenta do wybranego punktu (min</w:t>
            </w:r>
            <w:r w:rsidR="00926A5B">
              <w:rPr>
                <w:rFonts w:ascii="Arial" w:hAnsi="Arial" w:cs="Arial"/>
                <w:sz w:val="18"/>
                <w:szCs w:val="18"/>
              </w:rPr>
              <w:t>.</w:t>
            </w:r>
            <w:r w:rsidRPr="005E6A7B">
              <w:rPr>
                <w:rFonts w:ascii="Arial" w:hAnsi="Arial" w:cs="Arial"/>
                <w:sz w:val="18"/>
                <w:szCs w:val="18"/>
              </w:rPr>
              <w:t xml:space="preserve"> 3 jednoczasowe dostępne pozycje na gantry lub tablecie dotykowym)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5AAB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v-SE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  <w:lang w:val="sv-SE"/>
              </w:rPr>
              <w:t xml:space="preserve">III. </w:t>
            </w:r>
            <w:r w:rsidRPr="00B16566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  <w:lang w:val="sv-SE"/>
              </w:rPr>
              <w:t>GENERATOR I LAMPA RTG</w:t>
            </w:r>
          </w:p>
        </w:tc>
      </w:tr>
      <w:tr w:rsidR="005E6A7B" w:rsidRPr="005E6A7B" w:rsidTr="005E6A7B">
        <w:trPr>
          <w:trHeight w:val="47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Minimalne napięcie anody, możliwe do zastosowania w protokołach badań [kV]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 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Modulacja prądu anody w czasie rzeczywistym, jednocześnie w osiach x,y,z.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prąd lampy dostępny w protokole badania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350 mA - 399 mA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0 pkt</w:t>
            </w:r>
          </w:p>
          <w:p w:rsidR="005E6A7B" w:rsidRPr="005E6A7B" w:rsidRDefault="005E6A7B" w:rsidP="00BF026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400 mA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C938AB">
            <w:pPr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Maksymalne napięcie anody w protokole badania min. 140 kV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Rzeczywista pojemność cieplna anody lampy rtg [MHU]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Liczba ognisk lampy rtg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Powierzchnia małego ogniska lampy rtg [mm²] 0,4 – 0,5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podać: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0,40 – 6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0,42 – 5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0,44 – 4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0,46 – 3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0,48 – 2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0,50 – 1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Szybkość chłodzenia lampy min. 500 kHU/min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podać: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800-700 – 10 pkt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699-600 – 5 pkt</w:t>
            </w:r>
          </w:p>
          <w:p w:rsidR="005E6A7B" w:rsidRPr="005E6A7B" w:rsidRDefault="005E6A7B" w:rsidP="005B2D9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599-500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Automatyczny wybór ognisk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Maksymalna moc generatora min. 40KW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C93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40-45 kW – 0 pkt</w:t>
            </w:r>
          </w:p>
          <w:p w:rsidR="005E6A7B" w:rsidRPr="005E6A7B" w:rsidRDefault="005E6A7B" w:rsidP="00C938A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&gt; 45 kW – 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C93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Odległość ognisko lampy rtg – detektor, max 100 cm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Tak, podać:</w:t>
            </w:r>
          </w:p>
          <w:p w:rsidR="005E6A7B" w:rsidRPr="005E6A7B" w:rsidRDefault="005E6A7B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95 – 10 pkt</w:t>
            </w:r>
          </w:p>
          <w:p w:rsidR="005E6A7B" w:rsidRPr="005E6A7B" w:rsidRDefault="005E6A7B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95-100cm – 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IV. SYSTEM SKANOWANIA</w:t>
            </w:r>
          </w:p>
        </w:tc>
      </w:tr>
      <w:tr w:rsidR="005E6A7B" w:rsidRPr="005E6A7B" w:rsidTr="005E6A7B">
        <w:trPr>
          <w:trHeight w:val="47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lastRenderedPageBreak/>
              <w:t>23.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Najkrótszy czas pełnego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 xml:space="preserve">obrotu (360º) układu lampa rtg – detektor [s]  </w:t>
            </w:r>
            <w:r w:rsidRPr="005E6A7B">
              <w:rPr>
                <w:rFonts w:ascii="Arial" w:hAnsi="Arial" w:cs="Arial"/>
                <w:sz w:val="18"/>
                <w:szCs w:val="18"/>
              </w:rPr>
              <w:t>≤ 0,8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0,6 - 0,8 – 0 pkt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 0,5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24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Grubość najcieńszej dostępnej warstwy  z akwizycji wielowarstowej z maksymalną ilością warstw [mm]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 0,63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25.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Liczba warstw akwizycyjnych powyżej 1 mm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 warstwy – 0 pkt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16 warstw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28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zakres badania przy ciągłym skanie spiralnym/helikalnym, bez przerwy na chłodzenie lampy [cm]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3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zakres zmian wartość współczynnika pitch min. 1,5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≥1,5 – 1,74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0 pkt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≥1,75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Maksymalne, rekonstruowane pole obrazowania FOV [cm]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Możliwość rekonstrukcji diagnostycznego pola obrazowania powyżej 50 cm z zachowaniem pełnej jednorodności i dokładności gęstości jak w polu diagnostycznym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1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Matryca rekonstrukcyjna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Min. 512x512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1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Matryca prezentacyjna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Min. 1024x1024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Rozdzielczość wysokokontrastowa w płaszczyźnie x,y, mierzona w polu akwizycyjnym FOV=50 cm w punkcie 50% charakterystyki MTF.[pl/cm]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≥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możliwy czas badania w trybie spiralnym 120 [s]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Kolimacja wiązki zgodnie z polem skanowania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Niskodawkowy, iteracyjny algorytm rekonstrukcji bazujący na modelu z wielokrotnym przetwarzaniem tych samych danych surowych (RAW) oraz redukujący szum w obszarze obrazu, umożliwiający redukcję dawki o co najmniej 40% w relacji do standardowej metody rekonstrukcji wstecznej FBP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 xml:space="preserve">Rozwiązanie do redukcji promieniowania jonizującego, dedykowane do zwiększenia ochrony w trakcie badania szczególnie wrażliwych narządów np. oczu, tarczycy, piersi, itp.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V. KONSOLA OPERATORSKA</w:t>
            </w:r>
          </w:p>
        </w:tc>
      </w:tr>
      <w:tr w:rsidR="005E6A7B" w:rsidRPr="005E6A7B" w:rsidTr="005E6A7B">
        <w:trPr>
          <w:trHeight w:val="42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37.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Stanowisko operatorskie – konsola akwizycyjna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Jednomonitorowa – 0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Dwumonitorowa </w:t>
            </w:r>
            <w:r w:rsidR="00926A5B" w:rsidRPr="005E6A7B">
              <w:rPr>
                <w:rFonts w:ascii="Arial" w:hAnsi="Arial" w:cs="Arial"/>
                <w:sz w:val="18"/>
                <w:szCs w:val="18"/>
              </w:rPr>
              <w:t>–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Przekątna kolorowego monitora z aktywną matrycą ciekłokrystaliczną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19 "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19 " – 0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21 " – 1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39.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Możliwość wybrania i protokołu badania bezpośrednio przy stole pacjenta, z panelu dotykowego na gantry lub z tabletu.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9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Pojemność dysku twardego dla obrazów bez kompresji (512x512), wyrażona liczbą obrazów.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250000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9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Bezpośrednia rekonstrukcja warstw MPR bez konieczności wstępnej rekonstrukcji cienkich warstw aksjalnych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4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Archiwizacja badań pacjentów na CD-R i DVD w standardzie DICOM 3.0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4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Dwukierunkowy interkom do komunikacji głosowej z pacjentem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143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Interfejs sieciowy zgodnie z DICOM 3.0 z następującymi klasami serwisowymi:                                                               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Send/Receive                                                                           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Basic Print                                                                                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Query/ Retrieve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Storage Commitment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- Worklist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143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Integracja z oprogramowaniem PAKS szpitalnym (MEDICOM – szpital posiada licencję), koszty tylko dotyczące integracji po stronie Dostawcy urządzenia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09721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VI. OPROGRAMOWANIE KONSOLI OPERATORSKIEJ</w:t>
            </w: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46.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MIP (Maximum Intensity Projection)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47.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SSD (Surface Shaded Display)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VRT (Volume Rendering Techique)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7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Rekonstrukcje MPR (również skośne i krzywoliniowe z danych zbieranych przy dowolnym kącie gantry)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Prezentacje cine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51.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Pomiary geometryczne (długości / kątów / powierzchni / objętości)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Pomiary analityczne (pomiar poziomu gęstości, profile gęstości, analiza skanu dynamicznego)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autoSpaceDE w:val="0"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Obliczanie całkowitej dawki ekspozycyjnej (DLP lub CTDIvol), jaką uzyskał pacjent w trakcie badania i jej prezentacja na ekranie konsoli operatorskiej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Wielozadaniowość / wielodostęp, w tym możliwość automatycznej rekonstrukcji, archiwizacji i dokumentacji w tle (w trakcie skanowania)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28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synchronizacji startu badania spiralnego na podstawie automatycznej analizy napływu środka cieniującego w zadanej warstwie bez wykonywania wstrzyknięć testowych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Kompletny zestaw protokołów do badania wszystkich obszarów anatomicznych, z możliwością ich projektowania i zapamiętywania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Automatyczne, bez udziału operatora, ustawianie zakresu badania, dla danego pacjenta, na podstawie znaczników anatomicznych topogramu i wybranego protokołu badania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10 pkt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usuwające obraz struktury kostnej i stołu z pozostawieniem struktury naczyniowej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wirtualnej endoskopii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Automatyczne alarmowanie obsługi o możliwości przekroczenia dawki referencyjnej w danym badaniu (przed wykonaniem badania).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Sprzężenie tomografu ze wstrzykiwaczem kontrastu min kl I zgodnie z CanOpen 425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Kl.I i II – 0 pkt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Kl III – 5 pkt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Kl IV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81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sz w:val="18"/>
                <w:szCs w:val="18"/>
              </w:rPr>
              <w:t>VII. POZOSTAŁE WYMAGANIA</w:t>
            </w:r>
          </w:p>
        </w:tc>
      </w:tr>
      <w:tr w:rsidR="005E6A7B" w:rsidRPr="005E6A7B" w:rsidTr="005E6A7B">
        <w:trPr>
          <w:trHeight w:val="29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62.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Dwutłokowy wstrzykiwacz środka cieniującego zintegrowany z tomografem komputerowym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29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63.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Zestaw firmowych fantomów serwisowych do kalibracji i testów podstawowych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64.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Instrukcja obsługi aparatu TK w formie elektronicznej i papierowej oraz instrukcje obsługi urządzeń wyposażenia - w języku polskim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Dostarczyć wraz z dostawą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Moc podłączeniowa [kVA]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2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66.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Ilość ciepła emitowana do pomieszczenia badań w trakcie skanowania [kW]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98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Zakres temperatur pracy systemu [stopnie C]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Wykonanie testów akceptacyjnych po zainstalowaniu urządzenia – </w:t>
            </w:r>
            <w:r w:rsidRPr="005E6A7B">
              <w:rPr>
                <w:rFonts w:ascii="Arial" w:hAnsi="Arial" w:cs="Arial"/>
                <w:bCs/>
                <w:sz w:val="18"/>
                <w:szCs w:val="18"/>
              </w:rPr>
              <w:t>zawarte w cenie oferty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Wykonawca dostarczy, zainstaluje system do archiwizacji i optymalizacji dawki promieniowania (wraz ze szkoleniem personelu Zamawiającego).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z licencjami bezterminowymi do monitorowania i raportowania poziomu dawek z tomografu komputerowego z możliwością podłączenia aparatu RTG, pozwalające na spełnienie dyrektywy EURATOM 2013/59 z 5 grudnia 2013 opisane w punktach poniżej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analizę statystyczną poziomu dawek – automatyczne powiadamianie w przypadku przekroczenia poziomu dopuszczalnych dawek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monitorowania i optymalizacji kontrastu umożliwiającą gromadzenie informacji dotyczącej zużycia kontrastu w badaniu oraz tworzące automatyczne raporty dotyczące np. skumulowanej dawki jodu dla danego pacjenta.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porównywanie dawek z tomografu z dawkami dla określonej populacji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przeglądanie historii dawki w rozbiciu na: pacjentów/regiony anatomiczne/rodzaje badań RTG/osobę przeprowadzającą badanie/zmiany pracy zespołu pracowni TK (np. poranna, popołudniowa, wieczorna itd.)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ostrzeżenie o przekroczeniu progu zdefiniowanej dawki, które jest:</w:t>
            </w:r>
          </w:p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a) wysyłane w czasie rzeczywistym w trakcie badania na adresy poczty elektronicznej wpisanej na listę mailingową oprogramowania.</w:t>
            </w:r>
          </w:p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b) możliwość wyjaśnienia przekroczenia dawki w formie komentarza również zapisywanego w archiwum.</w:t>
            </w:r>
          </w:p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c) zaawansowany system ostrzegania w podziale na segmenty według wieku/BMI/ itd. i możliwość korzystania z międzynarodowego leksykonu (np. RadLexicon), aby otrzymać znormalizowaną informację potrzebną do porównań.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wyliczenie SSDE (ang. Size-Specific Dose Estimate – szacunkowa wielkość dawki zależna od rozmiaru).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wyliczenie przesunięcia poza izocentrum, które umożliwia weryfikację prawidłowości ułożenia pacjenta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wyliczenie wartości modulacji mA. Modulacja mA wyświetla tłumienie natężenia prądu na całej długości skanowania. Wyliczenie powinno zawierć średnią mA, minimalną mA i maksymalną wartość mA w trakcie wybranej serii.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automatyczne sporządzanie raportów tygodniowych/ miesięcznych/ kwartalnych ze zgromadzonych danych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oszacowania dawki narządowej dla pacjentów pediatrycznych i dorosłych wraz z automatycznym wykrywaniem skanowanego obszaru i obliczeniem dawki przyjmowanej przez narządy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81.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oszacowania dawki dla płodu  przypadku badań kobiet w ciąży.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VIII. SZKOLENIA</w:t>
            </w: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Szkolenia w miejscu + min. 2 dni x 5 godzin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5AAB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IX. </w:t>
            </w:r>
            <w:r w:rsidRPr="00B16566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>GWARANCJA I SERWIS POGWARANCYJNY</w:t>
            </w:r>
          </w:p>
        </w:tc>
      </w:tr>
      <w:tr w:rsidR="005E6A7B" w:rsidRPr="005E6A7B" w:rsidTr="00B16566">
        <w:trPr>
          <w:trHeight w:val="52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pStyle w:val="Style9"/>
              <w:widowControl/>
              <w:spacing w:line="24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Okres gwarancji od dnia podpisania protokołu zdawczo odbiorczego.</w:t>
            </w:r>
          </w:p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Gwarancja bezwarunkowa, bez limitu skanów i innych ograniczeń, co najmniej 24 miesięcy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Autoryzowany serwis gwarancyjny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Min. 10 – letni okres gwarantowania dostępności części zamiennych dla TK oraz min. 5 – letni dla pozostałych urządzeń i stanowisk pracy zaoferowanych w zestawie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ind w:left="211" w:right="23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ind w:left="211" w:right="2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Wszystkie wymagane przez producenta oferowanego aparatu przeglądy w okresie gwarancji (podać ile) – </w:t>
            </w:r>
            <w:r w:rsidRPr="005E6A7B">
              <w:rPr>
                <w:rFonts w:ascii="Arial" w:hAnsi="Arial" w:cs="Arial"/>
                <w:bCs/>
                <w:sz w:val="18"/>
                <w:szCs w:val="18"/>
              </w:rPr>
              <w:t>zawarte w cenie oferty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Czas naprawy gwarancyjnej [dni robocze: od poniedziałku do piątku z wyłączeniem dni ustawowo wolnych pracy]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Max. 6 dni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Czas reakcji serwisu od zgłoszenia do podjęcia naprawy [godziny w dni robocze :od poniedziałku do piątku z wyłączeniem dni ustawowo wolnych pracy]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Max. 24 godzin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5AAB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ab/>
            </w:r>
            <w:r w:rsidRPr="00B165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ar-SA"/>
              </w:rPr>
              <w:t>X. KONSOLA LEKARSKA DWUMONITOROWA</w:t>
            </w: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Stacja przeglądowa 2D i 3D (MPR i VRT) z oprogramowaniem Osirix lub równoważnym tzn posiadającym co najmniej te same funkcjonalności użytkowe. –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lokalna baza obrazów medycznych: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baza danych oparta o „silnik” SQLite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zarządzanie dowolną ilością obrazów medycznych (przechowywanych lokalnie i zdalnie)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udostępnianie lokalnej bazy danych w sieci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import plików z dowolnego nośnika (CD, DVD, USB, sieć, serwery PACS)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eksport i zapis plików na dowolny nośnik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anonimizacja danych - usuwanie danych pacjenta z plików DICOM (np. do celów pokazowych)</w:t>
            </w:r>
          </w:p>
          <w:p w:rsidR="005E6A7B" w:rsidRPr="005E6A7B" w:rsidRDefault="005E6A7B" w:rsidP="00B650E6">
            <w:pPr>
              <w:pStyle w:val="Standard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° edycja metadanych - edycja danych zapisanych w plikach DICOM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° Intuicyjny interfejs użytkownika – 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konfigurowalny pasek narzędzi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obsługa obrazów kluczowych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wsparcie dla myszy wieloklawiszowych i gestów np. Apple Magic Trackpad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obsługa tablic odwzorowania barwy (LUT/CLUT) i gęstości (WL/WH)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obsługa filtrów splotowych (3x3, 5x5)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° łączenie badań róznych obszarów (image registration)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przebudowa przekrojów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dowolna konfiguracja, zapisywanie i wczytywanie przestrzeni roboczych (Workspaces), np. dla różnego typu badań</w:t>
            </w:r>
          </w:p>
          <w:p w:rsidR="005E6A7B" w:rsidRPr="005E6A7B" w:rsidRDefault="005E6A7B" w:rsidP="007D5A01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wygodna praca na wielu monitorach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Rekonstrukcja 3D: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rekonstrukcja objętościowa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rekonstrukcja powierzchni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rekonstrukcja wielopłaszczyznowa (MPR)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zakrzywiona rekonstrukcja wielopłaszczyznowa (Curved MPR)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maksymalna/minimalna intensywność projekcji (MIP)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wirtualna endoskopia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tworzenie wycinków i przekrojów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separacja tkanek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oznaczanie różnymi barwami i przezroczystością organów i tkanek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przelot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eksport do różnych formatów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Architektura Plug-ins: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możliwość implementacji rozwiązań dostarczanych przez niezależnych producentów rozszerzających funkcje OsiriX’a (moduły dodatkowe, np. automatyzacja oceny zwapnienia naczyń wieńcowych, automatyzacja badań mammograficznych, ocena BI-RADS/PI-RADS,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angiografia, obsługa dodatkowych formatów zapisu obrazów medycznych, etc)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Inne: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optymalizacja dla procesorów wielordzeniowych, wielowątkowość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odczyt asynchroniczny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wsparcie OpenGL dla podglądu 2D i 3D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akceleracja GPU dla zadań obliczeniowych, wsparcie mapowania 3D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architektura wtyczek rozszerzających możliwości oprogramowania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wsparcie „hanging protocol” - aranżacja okien programu dla najlepszej oceny istotnych elementów badania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Dwa monitory medyczne przeznaczone do wyświetlania badań RTG/CT/MR o przekątnej nie mniej niż 21 cali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Rozdzielczość nie mniejsza niż 5120 na 2880 z możliwością wyświetlania miliarda kolorów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Jasność 500 nitów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</w:tbl>
    <w:p w:rsidR="00984B5D" w:rsidRPr="005E6A7B" w:rsidRDefault="00984B5D" w:rsidP="00227862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984B5D" w:rsidRPr="005E6A7B" w:rsidRDefault="00984B5D" w:rsidP="00227862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E6A7B" w:rsidRPr="005E6A7B" w:rsidRDefault="005E6A7B" w:rsidP="005E6A7B">
      <w:pPr>
        <w:pStyle w:val="normaltableau"/>
        <w:suppressAutoHyphens/>
        <w:spacing w:before="0" w:after="0" w:line="360" w:lineRule="auto"/>
        <w:ind w:left="-284" w:right="-284"/>
        <w:rPr>
          <w:rFonts w:ascii="Arial" w:hAnsi="Arial" w:cs="Arial"/>
          <w:sz w:val="18"/>
          <w:szCs w:val="18"/>
          <w:lang w:val="pl-PL" w:eastAsia="ar-SA"/>
        </w:rPr>
      </w:pPr>
      <w:r w:rsidRPr="005E6A7B">
        <w:rPr>
          <w:rFonts w:ascii="Arial" w:hAnsi="Arial" w:cs="Arial"/>
          <w:sz w:val="18"/>
          <w:szCs w:val="18"/>
          <w:lang w:val="pl-PL" w:eastAsia="ar-SA"/>
        </w:rPr>
        <w:t>Oświadczam, że oferowany sprzęt jest kompletny i po zainstalowaniu gotowy do eksploatacji, bez żadnych dodatkowych zakupów i inwestycji (z wyjątkiem materiałów eksploatacyjnych).</w:t>
      </w:r>
    </w:p>
    <w:p w:rsidR="005E6A7B" w:rsidRPr="005E6A7B" w:rsidRDefault="005E6A7B" w:rsidP="005E6A7B">
      <w:pPr>
        <w:pStyle w:val="normaltableau"/>
        <w:suppressAutoHyphens/>
        <w:spacing w:before="0" w:after="0" w:line="360" w:lineRule="auto"/>
        <w:ind w:left="-284" w:right="-284"/>
        <w:rPr>
          <w:rFonts w:ascii="Arial" w:hAnsi="Arial" w:cs="Arial"/>
          <w:strike/>
          <w:sz w:val="18"/>
          <w:szCs w:val="18"/>
          <w:lang w:val="pl-PL" w:eastAsia="ar-SA"/>
        </w:rPr>
      </w:pPr>
    </w:p>
    <w:p w:rsidR="005E6A7B" w:rsidRPr="005E6A7B" w:rsidRDefault="005E6A7B" w:rsidP="005E6A7B">
      <w:pPr>
        <w:pStyle w:val="normaltableau"/>
        <w:suppressAutoHyphens/>
        <w:spacing w:before="0" w:after="0" w:line="360" w:lineRule="auto"/>
        <w:ind w:left="-284" w:right="-284"/>
        <w:rPr>
          <w:rFonts w:ascii="Arial" w:hAnsi="Arial" w:cs="Arial"/>
          <w:sz w:val="18"/>
          <w:szCs w:val="18"/>
          <w:lang w:val="pl-PL" w:eastAsia="ar-SA"/>
        </w:rPr>
      </w:pPr>
      <w:r w:rsidRPr="005E6A7B">
        <w:rPr>
          <w:rFonts w:ascii="Arial" w:hAnsi="Arial" w:cs="Arial"/>
          <w:sz w:val="18"/>
          <w:szCs w:val="18"/>
          <w:lang w:val="pl-PL" w:eastAsia="ar-SA"/>
        </w:rPr>
        <w:t>Wykonawca w cenie oferty zapewnia: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serwis w okresie gwarancji,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przedłużenie gwarancji o każdą konieczność zatrzymania przedmiotu zamówienia w serwisie ponad 24 godz.,</w:t>
      </w:r>
    </w:p>
    <w:p w:rsidR="005E6A7B" w:rsidRPr="005E6A7B" w:rsidRDefault="005E6A7B" w:rsidP="005E6A7B">
      <w:pPr>
        <w:pStyle w:val="normaltableau"/>
        <w:numPr>
          <w:ilvl w:val="0"/>
          <w:numId w:val="8"/>
        </w:numPr>
        <w:tabs>
          <w:tab w:val="clear" w:pos="720"/>
          <w:tab w:val="num" w:pos="-426"/>
        </w:tabs>
        <w:suppressAutoHyphens/>
        <w:spacing w:before="0" w:after="0" w:line="360" w:lineRule="auto"/>
        <w:ind w:left="-284" w:right="-284" w:firstLine="0"/>
        <w:rPr>
          <w:rFonts w:ascii="Arial" w:hAnsi="Arial" w:cs="Arial"/>
          <w:sz w:val="18"/>
          <w:szCs w:val="18"/>
          <w:lang w:val="pl-PL" w:eastAsia="ar-SA"/>
        </w:rPr>
      </w:pPr>
      <w:r w:rsidRPr="005E6A7B">
        <w:rPr>
          <w:rFonts w:ascii="Arial" w:hAnsi="Arial" w:cs="Arial"/>
          <w:sz w:val="18"/>
          <w:szCs w:val="18"/>
          <w:lang w:val="pl-PL" w:eastAsia="ar-SA"/>
        </w:rPr>
        <w:lastRenderedPageBreak/>
        <w:t>w okresie gwarancji przeglądy gwarancyjne wymagane i zalecane przez producenta oferowanego przedmiotu zamówienia,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przeprowadzenie szkolenia personelu medycznego w zakresie obsługi w siedzibie Zamawiającego,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 xml:space="preserve">instrukcję obsługi urządzenia w języku polskim wraz z dostawą sprzętu. </w:t>
      </w:r>
    </w:p>
    <w:p w:rsidR="005E6A7B" w:rsidRPr="005E6A7B" w:rsidRDefault="005E6A7B" w:rsidP="005E6A7B">
      <w:pPr>
        <w:spacing w:line="360" w:lineRule="auto"/>
        <w:ind w:left="-284" w:right="-284"/>
        <w:jc w:val="both"/>
        <w:rPr>
          <w:rFonts w:ascii="Arial" w:hAnsi="Arial" w:cs="Arial"/>
          <w:strike/>
          <w:sz w:val="18"/>
          <w:szCs w:val="18"/>
        </w:rPr>
      </w:pPr>
    </w:p>
    <w:p w:rsidR="005E6A7B" w:rsidRPr="005E6A7B" w:rsidRDefault="005E6A7B" w:rsidP="005E6A7B">
      <w:pPr>
        <w:pStyle w:val="Tekstpodstawowy"/>
        <w:spacing w:after="0" w:line="360" w:lineRule="auto"/>
        <w:ind w:left="-284" w:right="-284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Wykonawca nie ma prawa zakładać kodów serwisowych/administracyjnych uniemożliwiających serwisowanie urządzenia po okresie gwarancji serwisowi innemu niż autoryzowany.</w:t>
      </w:r>
    </w:p>
    <w:p w:rsidR="005E6A7B" w:rsidRPr="005E6A7B" w:rsidRDefault="005E6A7B" w:rsidP="005E6A7B">
      <w:pPr>
        <w:pStyle w:val="Tekstpodstawowy"/>
        <w:spacing w:after="0" w:line="360" w:lineRule="auto"/>
        <w:ind w:left="-284" w:right="-284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 xml:space="preserve">W przypadku założonych kodów serwisowych Wykonawca zobowiązany jest je złożyć w zalakowanej kopercie w dniu dostawy sprzętu. </w:t>
      </w:r>
    </w:p>
    <w:p w:rsidR="005E6A7B" w:rsidRPr="005E6A7B" w:rsidRDefault="005E6A7B" w:rsidP="005E6A7B">
      <w:pPr>
        <w:ind w:left="-284" w:right="-284"/>
        <w:jc w:val="both"/>
        <w:rPr>
          <w:rFonts w:ascii="Arial" w:hAnsi="Arial" w:cs="Arial"/>
          <w:color w:val="0070C0"/>
          <w:sz w:val="18"/>
          <w:szCs w:val="18"/>
        </w:rPr>
      </w:pPr>
    </w:p>
    <w:p w:rsidR="005E6A7B" w:rsidRPr="005E6A7B" w:rsidRDefault="005E6A7B" w:rsidP="005E6A7B">
      <w:pPr>
        <w:ind w:left="-284" w:right="-284"/>
        <w:jc w:val="both"/>
        <w:rPr>
          <w:rFonts w:ascii="Arial" w:hAnsi="Arial" w:cs="Arial"/>
          <w:color w:val="0070C0"/>
          <w:sz w:val="18"/>
          <w:szCs w:val="18"/>
        </w:rPr>
      </w:pPr>
    </w:p>
    <w:p w:rsidR="005E6A7B" w:rsidRPr="005E6A7B" w:rsidRDefault="005E6A7B" w:rsidP="005E6A7B">
      <w:pPr>
        <w:keepLines/>
        <w:ind w:left="-284" w:right="-284"/>
        <w:textAlignment w:val="baseline"/>
        <w:rPr>
          <w:rFonts w:ascii="Arial" w:hAnsi="Arial" w:cs="Arial"/>
          <w:sz w:val="18"/>
          <w:szCs w:val="18"/>
        </w:rPr>
      </w:pPr>
      <w:bookmarkStart w:id="1" w:name="_PictureBullets"/>
      <w:r w:rsidRPr="005E6A7B">
        <w:rPr>
          <w:rFonts w:ascii="Arial" w:hAnsi="Arial" w:cs="Arial"/>
          <w:sz w:val="18"/>
          <w:szCs w:val="18"/>
        </w:rPr>
        <w:t>........................ dnia …….........                                                                                                                  ………………………………………………………………………</w:t>
      </w:r>
    </w:p>
    <w:p w:rsidR="005E6A7B" w:rsidRPr="005E6A7B" w:rsidRDefault="005E6A7B" w:rsidP="005E6A7B">
      <w:pPr>
        <w:keepLines/>
        <w:ind w:left="7938" w:right="822"/>
        <w:jc w:val="center"/>
        <w:textAlignment w:val="baseline"/>
        <w:rPr>
          <w:rFonts w:ascii="Arial" w:hAnsi="Arial" w:cs="Arial"/>
          <w:sz w:val="16"/>
          <w:szCs w:val="16"/>
        </w:rPr>
      </w:pPr>
      <w:r w:rsidRPr="005E6A7B">
        <w:rPr>
          <w:rFonts w:ascii="Arial" w:hAnsi="Arial" w:cs="Arial"/>
          <w:sz w:val="16"/>
          <w:szCs w:val="16"/>
        </w:rPr>
        <w:t>podpis osoby/osób wskazanych w dokumencie,</w:t>
      </w:r>
    </w:p>
    <w:p w:rsidR="005E6A7B" w:rsidRPr="005E6A7B" w:rsidRDefault="005E6A7B" w:rsidP="005E6A7B">
      <w:pPr>
        <w:keepLines/>
        <w:ind w:left="7938" w:right="822"/>
        <w:jc w:val="center"/>
        <w:textAlignment w:val="baseline"/>
        <w:rPr>
          <w:rFonts w:ascii="Arial" w:hAnsi="Arial" w:cs="Arial"/>
          <w:sz w:val="16"/>
          <w:szCs w:val="16"/>
        </w:rPr>
      </w:pPr>
      <w:r w:rsidRPr="005E6A7B">
        <w:rPr>
          <w:rFonts w:ascii="Arial" w:hAnsi="Arial" w:cs="Arial"/>
          <w:sz w:val="16"/>
          <w:szCs w:val="16"/>
        </w:rPr>
        <w:t>uprawnionej/uprawnionych do występowania w obrocie prawnym,</w:t>
      </w:r>
    </w:p>
    <w:p w:rsidR="005E6A7B" w:rsidRPr="005E6A7B" w:rsidRDefault="005E6A7B" w:rsidP="005E6A7B">
      <w:pPr>
        <w:keepNext/>
        <w:keepLines/>
        <w:ind w:left="7938" w:right="822"/>
        <w:rPr>
          <w:rFonts w:ascii="Arial" w:hAnsi="Arial" w:cs="Arial"/>
          <w:sz w:val="16"/>
          <w:szCs w:val="16"/>
        </w:rPr>
      </w:pPr>
      <w:r w:rsidRPr="005E6A7B">
        <w:rPr>
          <w:rFonts w:ascii="Arial" w:hAnsi="Arial" w:cs="Arial"/>
          <w:sz w:val="16"/>
          <w:szCs w:val="16"/>
        </w:rPr>
        <w:t>reprezentowania Wykonawcy i składania oświadczeń woli w jego imieniu</w:t>
      </w:r>
      <w:r w:rsidRPr="005E6A7B">
        <w:rPr>
          <w:rFonts w:ascii="Arial" w:hAnsi="Arial" w:cs="Arial"/>
          <w:noProof/>
          <w:vanish/>
          <w:sz w:val="16"/>
          <w:szCs w:val="16"/>
        </w:rPr>
        <w:t xml:space="preserve"> </w:t>
      </w:r>
      <w:r w:rsidRPr="005E6A7B">
        <w:rPr>
          <w:rFonts w:ascii="Arial" w:hAnsi="Arial" w:cs="Arial"/>
          <w:noProof/>
          <w:vanish/>
          <w:sz w:val="16"/>
          <w:szCs w:val="16"/>
        </w:rPr>
        <w:drawing>
          <wp:inline distT="0" distB="0" distL="0" distR="0" wp14:anchorId="78128664" wp14:editId="79BA99F8">
            <wp:extent cx="66675" cy="1143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7B" w:rsidRPr="005E6A7B" w:rsidRDefault="005E6A7B" w:rsidP="005E6A7B">
      <w:pPr>
        <w:keepNext/>
        <w:keepLines/>
        <w:ind w:left="4678" w:right="-726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noProof/>
          <w:vanish/>
          <w:sz w:val="18"/>
          <w:szCs w:val="18"/>
        </w:rPr>
        <w:drawing>
          <wp:inline distT="0" distB="0" distL="0" distR="0" wp14:anchorId="06B1B1D0" wp14:editId="69FF2FA2">
            <wp:extent cx="66675" cy="1143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E6A7B" w:rsidRPr="005E6A7B" w:rsidRDefault="005E6A7B" w:rsidP="005E6A7B">
      <w:pPr>
        <w:rPr>
          <w:rFonts w:ascii="Arial" w:hAnsi="Arial" w:cs="Arial"/>
          <w:sz w:val="18"/>
          <w:szCs w:val="18"/>
        </w:rPr>
      </w:pPr>
    </w:p>
    <w:p w:rsidR="00984B5D" w:rsidRPr="005E6A7B" w:rsidRDefault="00984B5D" w:rsidP="00227862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E3BAD" w:rsidRPr="005E6A7B" w:rsidRDefault="005E3BAD" w:rsidP="00227862">
      <w:pPr>
        <w:rPr>
          <w:rFonts w:ascii="Arial" w:hAnsi="Arial" w:cs="Arial"/>
          <w:sz w:val="18"/>
          <w:szCs w:val="18"/>
        </w:rPr>
      </w:pPr>
    </w:p>
    <w:p w:rsidR="005E6A7B" w:rsidRPr="005E6A7B" w:rsidRDefault="005E6A7B" w:rsidP="00227862">
      <w:pPr>
        <w:rPr>
          <w:rFonts w:ascii="Arial" w:hAnsi="Arial" w:cs="Arial"/>
          <w:sz w:val="18"/>
          <w:szCs w:val="18"/>
        </w:rPr>
      </w:pPr>
    </w:p>
    <w:p w:rsidR="005E6A7B" w:rsidRPr="005E6A7B" w:rsidRDefault="005E6A7B" w:rsidP="00227862">
      <w:pPr>
        <w:rPr>
          <w:rFonts w:ascii="Arial" w:hAnsi="Arial" w:cs="Arial"/>
          <w:sz w:val="18"/>
          <w:szCs w:val="18"/>
        </w:rPr>
      </w:pPr>
    </w:p>
    <w:p w:rsidR="00991C20" w:rsidRPr="005E6A7B" w:rsidRDefault="00991C20" w:rsidP="00227862">
      <w:pPr>
        <w:rPr>
          <w:rFonts w:ascii="Arial" w:hAnsi="Arial" w:cs="Arial"/>
          <w:sz w:val="18"/>
          <w:szCs w:val="18"/>
        </w:rPr>
      </w:pPr>
    </w:p>
    <w:sectPr w:rsidR="00991C20" w:rsidRPr="005E6A7B" w:rsidSect="00B650E6">
      <w:pgSz w:w="16840" w:h="11900" w:orient="landscape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D8F" w:rsidRDefault="00823D8F" w:rsidP="004A72EF">
      <w:r>
        <w:separator/>
      </w:r>
    </w:p>
  </w:endnote>
  <w:endnote w:type="continuationSeparator" w:id="0">
    <w:p w:rsidR="00823D8F" w:rsidRDefault="00823D8F" w:rsidP="004A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D8F" w:rsidRDefault="00823D8F" w:rsidP="004A72EF">
      <w:r>
        <w:separator/>
      </w:r>
    </w:p>
  </w:footnote>
  <w:footnote w:type="continuationSeparator" w:id="0">
    <w:p w:rsidR="00823D8F" w:rsidRDefault="00823D8F" w:rsidP="004A7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4B02D4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18"/>
        <w:szCs w:val="18"/>
      </w:rPr>
    </w:lvl>
  </w:abstractNum>
  <w:abstractNum w:abstractNumId="1" w15:restartNumberingAfterBreak="0">
    <w:nsid w:val="040A34D5"/>
    <w:multiLevelType w:val="multilevel"/>
    <w:tmpl w:val="06F8D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F2F5B"/>
    <w:multiLevelType w:val="hybridMultilevel"/>
    <w:tmpl w:val="0D609266"/>
    <w:lvl w:ilvl="0" w:tplc="1A2669CC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7C2CB7"/>
    <w:multiLevelType w:val="multilevel"/>
    <w:tmpl w:val="6C6865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01500"/>
    <w:multiLevelType w:val="multilevel"/>
    <w:tmpl w:val="87D8FC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D86084"/>
    <w:multiLevelType w:val="multilevel"/>
    <w:tmpl w:val="F636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00291"/>
    <w:multiLevelType w:val="multilevel"/>
    <w:tmpl w:val="33C8CE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1D338F"/>
    <w:multiLevelType w:val="multilevel"/>
    <w:tmpl w:val="68420B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5D"/>
    <w:rsid w:val="00081C34"/>
    <w:rsid w:val="0009721D"/>
    <w:rsid w:val="001A1762"/>
    <w:rsid w:val="00227862"/>
    <w:rsid w:val="004A72EF"/>
    <w:rsid w:val="005B2D97"/>
    <w:rsid w:val="005E3BAD"/>
    <w:rsid w:val="005E6A7B"/>
    <w:rsid w:val="00626436"/>
    <w:rsid w:val="0069086B"/>
    <w:rsid w:val="007026AF"/>
    <w:rsid w:val="00746415"/>
    <w:rsid w:val="0076161E"/>
    <w:rsid w:val="007D5A01"/>
    <w:rsid w:val="00823D8F"/>
    <w:rsid w:val="00833E8C"/>
    <w:rsid w:val="008A279D"/>
    <w:rsid w:val="00926A5B"/>
    <w:rsid w:val="00984B5D"/>
    <w:rsid w:val="00991C20"/>
    <w:rsid w:val="009C7781"/>
    <w:rsid w:val="00A63FF5"/>
    <w:rsid w:val="00AB3B78"/>
    <w:rsid w:val="00B15AAB"/>
    <w:rsid w:val="00B16566"/>
    <w:rsid w:val="00B650E6"/>
    <w:rsid w:val="00BF0268"/>
    <w:rsid w:val="00C86057"/>
    <w:rsid w:val="00C938AB"/>
    <w:rsid w:val="00D47954"/>
    <w:rsid w:val="00D7652F"/>
    <w:rsid w:val="00E76A58"/>
    <w:rsid w:val="00E860A0"/>
    <w:rsid w:val="00E9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B5FD1-1B96-47F9-B400-BA661C2D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4B5D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4B5D"/>
    <w:pPr>
      <w:keepNext/>
      <w:suppressAutoHyphens/>
      <w:snapToGrid w:val="0"/>
      <w:jc w:val="center"/>
      <w:outlineLvl w:val="0"/>
    </w:pPr>
    <w:rPr>
      <w:rFonts w:ascii="Arial Narrow" w:hAnsi="Arial Narrow"/>
      <w:b/>
      <w:bCs/>
      <w:sz w:val="1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4B5D"/>
    <w:rPr>
      <w:rFonts w:ascii="Arial Narrow" w:eastAsia="Times New Roman" w:hAnsi="Arial Narrow" w:cs="Times New Roman"/>
      <w:b/>
      <w:bCs/>
      <w:sz w:val="18"/>
      <w:szCs w:val="20"/>
      <w:lang w:eastAsia="ar-SA"/>
    </w:rPr>
  </w:style>
  <w:style w:type="paragraph" w:styleId="Tytu">
    <w:name w:val="Title"/>
    <w:basedOn w:val="Normalny"/>
    <w:link w:val="TytuZnak"/>
    <w:qFormat/>
    <w:rsid w:val="00984B5D"/>
    <w:pPr>
      <w:shd w:val="clear" w:color="auto" w:fill="FFFFFF"/>
      <w:suppressAutoHyphens/>
      <w:spacing w:line="254" w:lineRule="exact"/>
      <w:ind w:right="883"/>
      <w:jc w:val="center"/>
    </w:pPr>
    <w:rPr>
      <w:rFonts w:ascii="Arial Narrow" w:hAnsi="Arial Narrow"/>
      <w:b/>
      <w:bCs/>
      <w:color w:val="000000"/>
      <w:sz w:val="26"/>
      <w:szCs w:val="28"/>
      <w:lang w:eastAsia="ar-SA"/>
    </w:rPr>
  </w:style>
  <w:style w:type="character" w:customStyle="1" w:styleId="TytuZnak">
    <w:name w:val="Tytuł Znak"/>
    <w:basedOn w:val="Domylnaczcionkaakapitu"/>
    <w:link w:val="Tytu"/>
    <w:rsid w:val="00984B5D"/>
    <w:rPr>
      <w:rFonts w:ascii="Arial Narrow" w:eastAsia="Times New Roman" w:hAnsi="Arial Narrow" w:cs="Times New Roman"/>
      <w:b/>
      <w:bCs/>
      <w:color w:val="000000"/>
      <w:sz w:val="26"/>
      <w:szCs w:val="28"/>
      <w:shd w:val="clear" w:color="auto" w:fill="FFFFFF"/>
      <w:lang w:eastAsia="ar-SA"/>
    </w:rPr>
  </w:style>
  <w:style w:type="paragraph" w:customStyle="1" w:styleId="Zawartotabeli">
    <w:name w:val="Zawartość tabeli"/>
    <w:basedOn w:val="Normalny"/>
    <w:rsid w:val="00984B5D"/>
    <w:pPr>
      <w:widowControl w:val="0"/>
      <w:suppressLineNumbers/>
      <w:suppressAutoHyphens/>
    </w:pPr>
    <w:rPr>
      <w:lang w:eastAsia="ar-SA"/>
    </w:rPr>
  </w:style>
  <w:style w:type="paragraph" w:customStyle="1" w:styleId="AbsatzTableFormat">
    <w:name w:val="AbsatzTableFormat"/>
    <w:basedOn w:val="Normalny"/>
    <w:rsid w:val="00984B5D"/>
    <w:pPr>
      <w:suppressAutoHyphens/>
      <w:spacing w:line="360" w:lineRule="auto"/>
    </w:pPr>
    <w:rPr>
      <w:rFonts w:eastAsia="MS Mincho"/>
      <w:bCs/>
      <w:sz w:val="20"/>
      <w:szCs w:val="16"/>
      <w:lang w:eastAsia="ar-SA"/>
    </w:rPr>
  </w:style>
  <w:style w:type="paragraph" w:customStyle="1" w:styleId="Style9">
    <w:name w:val="Style9"/>
    <w:basedOn w:val="Normalny"/>
    <w:rsid w:val="00984B5D"/>
    <w:pPr>
      <w:widowControl w:val="0"/>
      <w:autoSpaceDE w:val="0"/>
      <w:autoSpaceDN w:val="0"/>
      <w:spacing w:line="184" w:lineRule="exact"/>
    </w:pPr>
    <w:rPr>
      <w:lang w:val="en-US"/>
    </w:rPr>
  </w:style>
  <w:style w:type="paragraph" w:customStyle="1" w:styleId="Standard">
    <w:name w:val="Standard"/>
    <w:rsid w:val="00984B5D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4A72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2EF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72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2EF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E6A7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E6A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5E6A7B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9F3F0-7900-4CCA-9A56-78A12B896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2244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KCZ</Company>
  <LinksUpToDate>false</LinksUpToDate>
  <CharactersWithSpaces>15677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tjanyk_adm</dc:creator>
  <cp:lastModifiedBy>Agnieszka </cp:lastModifiedBy>
  <cp:revision>4</cp:revision>
  <dcterms:created xsi:type="dcterms:W3CDTF">2019-07-24T10:55:00Z</dcterms:created>
  <dcterms:modified xsi:type="dcterms:W3CDTF">2019-07-24T11:17:00Z</dcterms:modified>
</cp:coreProperties>
</file>